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F1623" w:color="auto" w:val="clear"/>
            <w:tcMar>
              <w:top w:type="dxa" w:w="520"/>
              <w:left w:type="dxa" w:w="420"/>
              <w:bottom w:type="dxa" w:w="520"/>
              <w:right w:type="dxa" w:w="420"/>
            </w:tcMar>
          </w:tcPr>
          <w:p>
            <w:pPr>
              <w:spacing w:after="220"/>
              <w:jc w:val="left"/>
            </w:pPr>
            <w:r>
              <w:drawing>
                <wp:inline distT="0" distB="0" distL="0" distR="0">
                  <wp:extent cx="2381250" cy="7620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381250" cy="762000"/>
                          </a:xfrm>
                          <a:prstGeom prst="rect">
                            <a:avLst/>
                          </a:prstGeom>
                        </pic:spPr>
                      </pic:pic>
                    </a:graphicData>
                  </a:graphic>
                </wp:inline>
              </w:drawing>
            </w:r>
          </w:p>
          <w:p>
            <w:pPr>
              <w:spacing w:after="60" w:line="360"/>
            </w:pPr>
            <w:r>
              <w:rPr>
                <w:rFonts w:ascii="DM Sans" w:cs="DM Sans" w:eastAsia="DM Sans" w:hAnsi="DM Sans"/>
                <w:b/>
                <w:bCs/>
                <w:color w:val="F7F3ED"/>
                <w:sz w:val="44"/>
                <w:szCs w:val="44"/>
              </w:rPr>
              <w:t xml:space="preserve">Guide du Kit Administratif</w:t>
            </w:r>
          </w:p>
          <w:p>
            <w:pPr>
              <w:spacing w:after="0" w:line="300"/>
            </w:pPr>
            <w:r>
              <w:rPr>
                <w:rFonts w:ascii="DM Sans" w:cs="DM Sans" w:eastAsia="DM Sans" w:hAnsi="DM Sans"/>
                <w:color w:val="00FFB3"/>
                <w:sz w:val="26"/>
                <w:szCs w:val="26"/>
              </w:rPr>
              <w:t xml:space="preserve">Trouvez le bon document, au bon moment.</w:t>
            </w:r>
          </w:p>
        </w:tc>
      </w:tr>
    </w:tbl>
    <w:p>
      <w:pPr>
        <w:spacing w:after="200" w:before="0" w:line="264"/>
      </w:pPr>
      <w:r>
        <w:rPr>
          <w:rFonts w:ascii="DM Sans" w:cs="DM Sans" w:eastAsia="DM Sans" w:hAnsi="DM Sans"/>
        </w:rPr>
        <w:t xml:space="preserve"/>
      </w:r>
    </w:p>
    <w:p>
      <w:pPr>
        <w:spacing w:after="100" w:before="0" w:line="264"/>
      </w:pPr>
      <w:r>
        <w:rPr>
          <w:rFonts w:ascii="DM Sans" w:cs="DM Sans" w:eastAsia="DM Sans" w:hAnsi="DM Sans"/>
          <w:b/>
          <w:bCs/>
          <w:color w:val="0F1623"/>
          <w:sz w:val="22"/>
          <w:szCs w:val="22"/>
        </w:rPr>
        <w:t xml:space="preserve">Bienvenue </w:t>
      </w:r>
      <w:r>
        <w:rPr>
          <w:rFonts w:ascii="DM Sans" w:cs="DM Sans" w:eastAsia="DM Sans" w:hAnsi="DM Sans"/>
          <w:sz w:val="22"/>
          <w:szCs w:val="22"/>
        </w:rPr>
        <w:t xml:space="preserve">👋</w:t>
      </w:r>
    </w:p>
    <w:p>
      <w:pPr>
        <w:spacing w:after="120" w:before="0" w:line="264"/>
      </w:pPr>
      <w:r>
        <w:rPr>
          <w:rFonts w:ascii="DM Sans" w:cs="DM Sans" w:eastAsia="DM Sans" w:hAnsi="DM Sans"/>
        </w:rPr>
        <w:t xml:space="preserve">Ce kit réunit l’ensemble des documents dont vous avez besoin pour piloter votre organisme de formation et sécuriser votre démarche Qualiopi, de la première prise de contact avec un client jusqu’au bilan de la session.</w:t>
      </w:r>
    </w:p>
    <w:p>
      <w:pPr>
        <w:spacing w:after="80" w:before="0" w:line="264"/>
      </w:pPr>
      <w:r>
        <w:rPr>
          <w:rFonts w:ascii="DM Sans" w:cs="DM Sans" w:eastAsia="DM Sans" w:hAnsi="DM Sans"/>
        </w:rPr>
        <w:t xml:space="preserve">Les fichiers sont rangés dans </w:t>
      </w:r>
      <w:r>
        <w:rPr>
          <w:rFonts w:ascii="DM Sans" w:cs="DM Sans" w:eastAsia="DM Sans" w:hAnsi="DM Sans"/>
          <w:b/>
          <w:bCs/>
        </w:rPr>
        <w:t xml:space="preserve">6 dossiers numérotés</w:t>
      </w:r>
      <w:r>
        <w:rPr>
          <w:rFonts w:ascii="DM Sans" w:cs="DM Sans" w:eastAsia="DM Sans" w:hAnsi="DM Sans"/>
        </w:rPr>
        <w:t xml:space="preserve">, dans l’ordre logique d’une action de formation. Deux façons de trouver ce que vous cherchez :</w:t>
      </w:r>
    </w:p>
    <w:p>
      <w:pPr>
        <w:pStyle w:val="ListParagraph"/>
        <w:numPr>
          <w:ilvl w:val="0"/>
          <w:numId w:val="2"/>
        </w:numPr>
        <w:spacing w:after="40" w:before="0" w:line="264"/>
      </w:pPr>
      <w:r>
        <w:rPr>
          <w:rFonts w:ascii="DM Sans" w:cs="DM Sans" w:eastAsia="DM Sans" w:hAnsi="DM Sans"/>
          <w:b/>
          <w:bCs/>
          <w:color w:val="0A7C5C"/>
        </w:rPr>
        <w:t xml:space="preserve">Par moment </w:t>
      </w:r>
      <w:r>
        <w:rPr>
          <w:rFonts w:ascii="DM Sans" w:cs="DM Sans" w:eastAsia="DM Sans" w:hAnsi="DM Sans"/>
        </w:rPr>
        <w:t xml:space="preserve">— suivez le parcours de la </w:t>
      </w:r>
      <w:r>
        <w:rPr>
          <w:rFonts w:ascii="DM Sans" w:cs="DM Sans" w:eastAsia="DM Sans" w:hAnsi="DM Sans"/>
          <w:b/>
          <w:bCs/>
        </w:rPr>
        <w:t xml:space="preserve">Partie 1</w:t>
      </w:r>
      <w:r>
        <w:rPr>
          <w:rFonts w:ascii="DM Sans" w:cs="DM Sans" w:eastAsia="DM Sans" w:hAnsi="DM Sans"/>
        </w:rPr>
        <w:t xml:space="preserve"> : « j’ai besoin de… » → le document à ouvrir.</w:t>
      </w:r>
    </w:p>
    <w:p>
      <w:pPr>
        <w:pStyle w:val="ListParagraph"/>
        <w:numPr>
          <w:ilvl w:val="0"/>
          <w:numId w:val="2"/>
        </w:numPr>
        <w:spacing w:after="160" w:before="0" w:line="264"/>
      </w:pPr>
      <w:r>
        <w:rPr>
          <w:rFonts w:ascii="DM Sans" w:cs="DM Sans" w:eastAsia="DM Sans" w:hAnsi="DM Sans"/>
          <w:b/>
          <w:bCs/>
          <w:color w:val="0A7C5C"/>
        </w:rPr>
        <w:t xml:space="preserve">Par dossier </w:t>
      </w:r>
      <w:r>
        <w:rPr>
          <w:rFonts w:ascii="DM Sans" w:cs="DM Sans" w:eastAsia="DM Sans" w:hAnsi="DM Sans"/>
        </w:rPr>
        <w:t xml:space="preserve">— consultez l’</w:t>
      </w:r>
      <w:r>
        <w:rPr>
          <w:rFonts w:ascii="DM Sans" w:cs="DM Sans" w:eastAsia="DM Sans" w:hAnsi="DM Sans"/>
          <w:b/>
          <w:bCs/>
        </w:rPr>
        <w:t xml:space="preserve">index complet de la Partie 2</w:t>
      </w:r>
      <w:r>
        <w:rPr>
          <w:rFonts w:ascii="DM Sans" w:cs="DM Sans" w:eastAsia="DM Sans" w:hAnsi="DM Sans"/>
        </w:rPr>
        <w:t xml:space="preserve">, dossier par dossier.</w:t>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F7F3ED" w:color="auto" w:val="clear"/>
            <w:tcMar>
              <w:top w:type="dxa" w:w="150"/>
              <w:left w:type="dxa" w:w="220"/>
              <w:bottom w:type="dxa" w:w="150"/>
              <w:right w:type="dxa" w:w="220"/>
            </w:tcMar>
          </w:tcPr>
          <w:p>
            <w:pPr>
              <w:spacing w:after="60" w:before="0" w:line="264"/>
            </w:pPr>
            <w:r>
              <w:rPr>
                <w:rFonts w:ascii="DM Sans" w:cs="DM Sans" w:eastAsia="DM Sans" w:hAnsi="DM Sans"/>
                <w:b/>
                <w:bCs/>
                <w:color w:val="0F1623"/>
                <w:sz w:val="20"/>
                <w:szCs w:val="20"/>
              </w:rPr>
              <w:t xml:space="preserve">💡 Bon à savoir</w:t>
            </w:r>
          </w:p>
          <w:p>
            <w:pPr>
              <w:spacing w:after="0" w:before="0" w:line="264"/>
            </w:pPr>
            <w:r>
              <w:rPr>
                <w:rFonts w:ascii="DM Sans" w:cs="DM Sans" w:eastAsia="DM Sans" w:hAnsi="DM Sans"/>
              </w:rPr>
              <w:t xml:space="preserve">Chaque modèle contient des champs entre crochets </w:t>
            </w:r>
            <w:r>
              <w:rPr>
                <w:rFonts w:ascii="DM Sans" w:cs="DM Sans" w:eastAsia="DM Sans" w:hAnsi="DM Sans"/>
                <w:b/>
                <w:bCs/>
                <w:color w:val="0A7C5C"/>
              </w:rPr>
              <w:t xml:space="preserve">[comme ceci]</w:t>
            </w:r>
            <w:r>
              <w:rPr>
                <w:rFonts w:ascii="DM Sans" w:cs="DM Sans" w:eastAsia="DM Sans" w:hAnsi="DM Sans"/>
              </w:rPr>
              <w:t xml:space="preserve"> : ce sont les éléments à remplacer par vos informations. Pour les personnaliser à votre image (logo, couleurs, mentions), reportez-vous au </w:t>
            </w:r>
            <w:r>
              <w:rPr>
                <w:rFonts w:ascii="DM Sans" w:cs="DM Sans" w:eastAsia="DM Sans" w:hAnsi="DM Sans"/>
                <w:i/>
                <w:iCs/>
              </w:rPr>
              <w:t xml:space="preserve">Guide de personnalisation des templates</w:t>
            </w:r>
            <w:r>
              <w:rPr>
                <w:rFonts w:ascii="DM Sans" w:cs="DM Sans" w:eastAsia="DM Sans" w:hAnsi="DM Sans"/>
              </w:rPr>
              <w:t xml:space="preserve"> (dossier 6). Pour ouvrir les fichiers sans Word ni Excel, voir le </w:t>
            </w:r>
            <w:r>
              <w:rPr>
                <w:rFonts w:ascii="DM Sans" w:cs="DM Sans" w:eastAsia="DM Sans" w:hAnsi="DM Sans"/>
                <w:i/>
                <w:iCs/>
              </w:rPr>
              <w:t xml:space="preserve">LISEZ-MOI</w:t>
            </w:r>
            <w:r>
              <w:rPr>
                <w:rFonts w:ascii="DM Sans" w:cs="DM Sans" w:eastAsia="DM Sans" w:hAnsi="DM Sans"/>
              </w:rPr>
              <w:t xml:space="preserve"> à la racine du kit.</w:t>
            </w:r>
          </w:p>
        </w:tc>
      </w:tr>
    </w:tbl>
    <w:p>
      <w:r>
        <w:br w:type="page"/>
      </w:r>
    </w:p>
    <w:p>
      <w:pPr>
        <w:spacing w:after="60" w:before="0" w:line="264"/>
      </w:pPr>
      <w:r>
        <w:rPr>
          <w:rFonts w:ascii="DM Sans" w:cs="DM Sans" w:eastAsia="DM Sans" w:hAnsi="DM Sans"/>
          <w:b/>
          <w:bCs/>
          <w:color w:val="0F1623"/>
          <w:sz w:val="30"/>
          <w:szCs w:val="30"/>
        </w:rPr>
        <w:t xml:space="preserve">Partie 1 — Trouvez le document selon votre besoin</w:t>
      </w:r>
    </w:p>
    <w:p>
      <w:pPr>
        <w:spacing w:after="180" w:before="0" w:line="264"/>
      </w:pPr>
      <w:r>
        <w:rPr>
          <w:rFonts w:ascii="DM Sans" w:cs="DM Sans" w:eastAsia="DM Sans" w:hAnsi="DM Sans"/>
          <w:i/>
          <w:iCs/>
          <w:color w:val="5A6472"/>
        </w:rPr>
        <w:t xml:space="preserve">Suivez le fil d’une action de formation. À chaque étape, le bon document — et son dossier.</w:t>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①  Cadrer une nouvelle action (avant de vendre)</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5100"/>
        <w:gridCol w:w="4646"/>
      </w:tblGrid>
      <w:tr>
        <w:trPr>
          <w:tblHeader/>
        </w:trPr>
        <w:tc>
          <w:tcPr>
            <w:tcW w:type="dxa" w:w="510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Vous voulez…</w:t>
            </w:r>
          </w:p>
        </w:tc>
        <w:tc>
          <w:tcPr>
            <w:tcW w:type="dxa" w:w="464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Ouvrez ce document</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Recueillir et formaliser le besoin du client</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Fiche de recueil du besoin · dossier 1</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Préparer et mener le rendez-vous de cadrage</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Trame de RDV de cadrage · dossier 1</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Garder une trace écrite de ce rendez-vous</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Compte-rendu de cadrage client · dossier 1</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Définir le public visé et les prérequis</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Fiche public cible &amp; prérequis · dossier 1</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Évaluer le niveau du participant à l’entrée</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Outil de positionnement / diagnostic d’entrée · dossier 1</w:t>
            </w:r>
          </w:p>
        </w:tc>
      </w:tr>
    </w:tbl>
    <w:p>
      <w:pPr>
        <w:spacing w:after="16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②  Construire et présenter votre offre</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5100"/>
        <w:gridCol w:w="4646"/>
      </w:tblGrid>
      <w:tr>
        <w:trPr>
          <w:tblHeader/>
        </w:trPr>
        <w:tc>
          <w:tcPr>
            <w:tcW w:type="dxa" w:w="510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Vous voulez…</w:t>
            </w:r>
          </w:p>
        </w:tc>
        <w:tc>
          <w:tcPr>
            <w:tcW w:type="dxa" w:w="464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Ouvrez ce document</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Présenter l’ensemble de vos formations</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Catalogue de formations · dossier 3</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Rédiger le programme remis au client</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Programme de formation (version client) · dossier 3</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Produire le programme détaillé conforme Qualiopi</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Fiche programme de formation détaillée · dossier 3</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Envoyer une offre commerciale au prospect</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Proposition commerciale · dossier 3</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Établir un devis à faire signer</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Devis – bon pour accord · dossier 3</w:t>
            </w:r>
          </w:p>
        </w:tc>
      </w:tr>
    </w:tbl>
    <w:p>
      <w:pPr>
        <w:spacing w:after="16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③  Contractualiser</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5100"/>
        <w:gridCol w:w="4646"/>
      </w:tblGrid>
      <w:tr>
        <w:trPr>
          <w:tblHeader/>
        </w:trPr>
        <w:tc>
          <w:tcPr>
            <w:tcW w:type="dxa" w:w="510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Vous voulez…</w:t>
            </w:r>
          </w:p>
        </w:tc>
        <w:tc>
          <w:tcPr>
            <w:tcW w:type="dxa" w:w="464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Ouvrez ce document</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Formaliser l’accord avec le client</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Convention de formation professionnelle · dossier 3</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Encadrer juridiquement la prestation</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Conditions générales de vente · dossier 3</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Fixer les règles applicables aux stagiaires</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Règlement intérieur · dossier 3</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Facturer la prestation</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Modèle de facture · dossier 2</w:t>
            </w:r>
          </w:p>
        </w:tc>
      </w:tr>
    </w:tbl>
    <w:p>
      <w:pPr>
        <w:spacing w:after="16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④  Organiser et animer la session</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5100"/>
        <w:gridCol w:w="4646"/>
      </w:tblGrid>
      <w:tr>
        <w:trPr>
          <w:tblHeader/>
        </w:trPr>
        <w:tc>
          <w:tcPr>
            <w:tcW w:type="dxa" w:w="510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Vous voulez…</w:t>
            </w:r>
          </w:p>
        </w:tc>
        <w:tc>
          <w:tcPr>
            <w:tcW w:type="dxa" w:w="464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Ouvrez ce document</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Bâtir le déroulé pédagogique séquence par séquence</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Trame de déroulé pédagogique · dossier 4</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Convoquer les participants</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Convocation à la formation · dossier 4</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Préparer toute la logistique</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Fiche logistique · dossier 4</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Ne rien oublier avant le jour J</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Checklist complète de session · dossier 4 (ou Checklist de lancement · dossier 1)</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Prouver la présence des participants</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Feuille d’émargement · dossier 4</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Gérer et documenter un imprévu en séance</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Guide de gestion des incidents + Fiche incident · dossier 4</w:t>
            </w:r>
          </w:p>
        </w:tc>
      </w:tr>
    </w:tbl>
    <w:p>
      <w:pPr>
        <w:spacing w:after="16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⑤  Évaluer et assurer le suivi qualité</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5100"/>
        <w:gridCol w:w="4646"/>
      </w:tblGrid>
      <w:tr>
        <w:trPr>
          <w:tblHeader/>
        </w:trPr>
        <w:tc>
          <w:tcPr>
            <w:tcW w:type="dxa" w:w="510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Vous voulez…</w:t>
            </w:r>
          </w:p>
        </w:tc>
        <w:tc>
          <w:tcPr>
            <w:tcW w:type="dxa" w:w="464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Ouvrez ce document</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Mesurer la satisfaction en fin de formation</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Questionnaire de satisfaction à chaud · dossier 5</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Mesurer les effets à distance</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Questionnaire de satisfaction à froid · dossier 5</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Faire le bilan côté formateur</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Bilan de session formateur · dossier 5</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Tracer réclamations, non-conformités et améliorations</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Tableau réclamations / NC / améliorations · dossier 5</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Tenir votre veille (pédagogique, juridique, technique)</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Tableau de veille · dossier 5</w:t>
            </w:r>
          </w:p>
        </w:tc>
      </w:tr>
    </w:tbl>
    <w:p>
      <w:pPr>
        <w:spacing w:after="16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⑥  Piloter votre organisme au quotidien</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5100"/>
        <w:gridCol w:w="4646"/>
      </w:tblGrid>
      <w:tr>
        <w:trPr>
          <w:tblHeader/>
        </w:trPr>
        <w:tc>
          <w:tcPr>
            <w:tcW w:type="dxa" w:w="510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Vous voulez…</w:t>
            </w:r>
          </w:p>
        </w:tc>
        <w:tc>
          <w:tcPr>
            <w:tcW w:type="dxa" w:w="464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Ouvrez ce document</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Suivre vos clients et vos actions commerciales</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Suivi clients · dossier 2</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Suivre vos sessions et leur qualité</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Suivi des sessions · dossier 2</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Suivre factures, financeurs et relances</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Suivi des paiements · dossier 2</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Formaliser une procédure interne</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Modèle de procédure interne · dossier 2</w:t>
            </w:r>
          </w:p>
        </w:tc>
      </w:tr>
      <w:tr>
        <w:tc>
          <w:tcPr>
            <w:tcW w:type="dxa" w:w="510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Travailler avec un formateur sous-traitant</w:t>
            </w:r>
          </w:p>
        </w:tc>
        <w:tc>
          <w:tcPr>
            <w:tcW w:type="dxa" w:w="464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Accord de sous-traitance + Charte + Fiche de gestion · dossier 2</w:t>
            </w:r>
          </w:p>
        </w:tc>
      </w:tr>
      <w:tr>
        <w:tc>
          <w:tcPr>
            <w:tcW w:type="dxa" w:w="510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Classer vos preuves proprement</w:t>
            </w:r>
          </w:p>
        </w:tc>
        <w:tc>
          <w:tcPr>
            <w:tcW w:type="dxa" w:w="464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Arborescence de dossiers · dossier 6</w:t>
            </w:r>
          </w:p>
        </w:tc>
      </w:tr>
    </w:tbl>
    <w:p>
      <w:pPr>
        <w:spacing w:after="160" w:before="0" w:line="264"/>
      </w:pPr>
      <w:r>
        <w:rPr>
          <w:rFonts w:ascii="DM Sans" w:cs="DM Sans" w:eastAsia="DM Sans" w:hAnsi="DM Sans"/>
        </w:rPr>
        <w:t xml:space="preserve"/>
      </w:r>
    </w:p>
    <w:p>
      <w:r>
        <w:br w:type="page"/>
      </w:r>
    </w:p>
    <w:p>
      <w:pPr>
        <w:spacing w:after="60" w:before="0" w:line="264"/>
      </w:pPr>
      <w:r>
        <w:rPr>
          <w:rFonts w:ascii="DM Sans" w:cs="DM Sans" w:eastAsia="DM Sans" w:hAnsi="DM Sans"/>
          <w:b/>
          <w:bCs/>
          <w:color w:val="0F1623"/>
          <w:sz w:val="30"/>
          <w:szCs w:val="30"/>
        </w:rPr>
        <w:t xml:space="preserve">Partie 2 — L’index complet, dossier par dossier</w:t>
      </w:r>
    </w:p>
    <w:p>
      <w:pPr>
        <w:spacing w:after="180" w:before="0" w:line="264"/>
      </w:pPr>
      <w:r>
        <w:rPr>
          <w:rFonts w:ascii="DM Sans" w:cs="DM Sans" w:eastAsia="DM Sans" w:hAnsi="DM Sans"/>
          <w:i/>
          <w:iCs/>
          <w:color w:val="5A6472"/>
        </w:rPr>
        <w:t xml:space="preserve">Les 40 documents du kit, dans l’ordre des dossiers. Les fichiers Excel sont signalés par (tableur).</w:t>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Dossier 1 — Cadrage de l’action de formation</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3650"/>
        <w:gridCol w:w="6096"/>
      </w:tblGrid>
      <w:tr>
        <w:trPr>
          <w:tblHeader/>
        </w:trPr>
        <w:tc>
          <w:tcPr>
            <w:tcW w:type="dxa" w:w="365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Document</w:t>
            </w:r>
          </w:p>
        </w:tc>
        <w:tc>
          <w:tcPr>
            <w:tcW w:type="dxa" w:w="609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À quoi il sert</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Fiche de recueil du besoin</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Recueillir et formaliser la demande du client ou du commanditaire, en amont de toute proposition.</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Trame de RDV de cadrage</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Conduire l’entretien de cadrage : questions clés pour cerner objectifs, contexte et contraintes.</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Compte-rendu de cadrage client</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Acter par écrit ce qui a été convenu pendant le cadrage — à archiver comme preuve.</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Fiche public cible &amp; prérequis</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Décrire précisément le public visé et les prérequis d’accès à la formation.</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Outil de positionnement / diagnostic d’entrée</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Évaluer le niveau et les attentes du bénéficiaire à l’entrée (rattaché à l’indicateur 3).</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Checklist de lancement de session</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Vérifier que tout est en place avant de démarrer une nouvelle session.</w:t>
            </w:r>
          </w:p>
        </w:tc>
      </w:tr>
    </w:tbl>
    <w:p>
      <w:pPr>
        <w:spacing w:after="17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Dossier 2 — Documents pratiques de gestion</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3650"/>
        <w:gridCol w:w="6096"/>
      </w:tblGrid>
      <w:tr>
        <w:trPr>
          <w:tblHeader/>
        </w:trPr>
        <w:tc>
          <w:tcPr>
            <w:tcW w:type="dxa" w:w="365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Document</w:t>
            </w:r>
          </w:p>
        </w:tc>
        <w:tc>
          <w:tcPr>
            <w:tcW w:type="dxa" w:w="609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À quoi il sert</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Modèle de procédure interne</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Formaliser une procédure interne (usage interne, démarche qualité).</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Modèle de facture</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Éditer une facture claire et conforme pour vos prestations.</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Suivi clients (tableur)</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Centraliser vos clients, contacts et actions commerciales.</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Suivi des sessions (tableur)</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Suivre vos sessions, leur remplissage et leur qualité.</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Suivi des paiements (tableur)</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Suivre factures, financeurs / OPCO et relances.</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Accord de sous-traitance</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Encadrer juridiquement la collaboration avec un formateur partenaire.</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Charte du formateur sous-traitant</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Formaliser les engagements de qualité attendus d’un sous-traitant.</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Fiche de gestion du sous-traitant</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Suivre les informations et pièces d’un formateur sous-traitant.</w:t>
            </w:r>
          </w:p>
        </w:tc>
      </w:tr>
    </w:tbl>
    <w:p>
      <w:pPr>
        <w:spacing w:after="17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Dossier 3 — Offre et contractualisation</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3650"/>
        <w:gridCol w:w="6096"/>
      </w:tblGrid>
      <w:tr>
        <w:trPr>
          <w:tblHeader/>
        </w:trPr>
        <w:tc>
          <w:tcPr>
            <w:tcW w:type="dxa" w:w="365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Document</w:t>
            </w:r>
          </w:p>
        </w:tc>
        <w:tc>
          <w:tcPr>
            <w:tcW w:type="dxa" w:w="609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À quoi il sert</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Catalogue de formations</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Présenter l’ensemble de votre offre de façon homogène.</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Programme de formation (version client)</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Programme commercial, orienté lisibilité et envie, à remettre au prospect.</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Fiche programme de formation détaillée</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Programme complet et conforme Qualiopi (indicateurs 2, 3, 4, 6 et 7), pour vos preuves.</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Proposition commerciale</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Formaliser votre offre chiffrée et argumentée au prospect.</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Devis – bon pour accord</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Établir un devis prêt à être signé « bon pour accord ».</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Convention de formation professionnelle</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Contractualiser la prestation avec le client (obligation pour les actions de formation).</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Conditions générales de vente</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Poser le cadre juridique de vos ventes.</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Règlement intérieur</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Fixer les règles applicables aux stagiaires (obligation pour l’organisme).</w:t>
            </w:r>
          </w:p>
        </w:tc>
      </w:tr>
    </w:tbl>
    <w:p>
      <w:pPr>
        <w:spacing w:after="17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Dossier 4 — Organisation pédagogique et logistique</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3650"/>
        <w:gridCol w:w="6096"/>
      </w:tblGrid>
      <w:tr>
        <w:trPr>
          <w:tblHeader/>
        </w:trPr>
        <w:tc>
          <w:tcPr>
            <w:tcW w:type="dxa" w:w="365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Document</w:t>
            </w:r>
          </w:p>
        </w:tc>
        <w:tc>
          <w:tcPr>
            <w:tcW w:type="dxa" w:w="609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À quoi il sert</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Trame de déroulé pédagogique (tableur)</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Construire le déroulé minute par minute : séquences, objectifs, méthodes, durées.</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Convocation à la formation</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Convoquer officiellement les participants avec toutes les informations utiles.</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Fiche logistique</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Préparer salle, matériel et organisation pratique de la session.</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Checklist complète de session</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Passer en revue tous les points d’organisation d’une session.</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Feuille d’émargement</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Attester la présence des participants — preuve clé de réalisation.</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Guide de gestion des incidents en session</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Savoir réagir et documenter un imprévu (fourni aussi en PDF prêt à imprimer).</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Fiche incident / imprévu de session</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Tracer factuellement un incident survenu pendant une session.</w:t>
            </w:r>
          </w:p>
        </w:tc>
      </w:tr>
    </w:tbl>
    <w:p>
      <w:pPr>
        <w:spacing w:after="17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Dossier 5 — Suivi et qualité</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3650"/>
        <w:gridCol w:w="6096"/>
      </w:tblGrid>
      <w:tr>
        <w:trPr>
          <w:tblHeader/>
        </w:trPr>
        <w:tc>
          <w:tcPr>
            <w:tcW w:type="dxa" w:w="365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Document</w:t>
            </w:r>
          </w:p>
        </w:tc>
        <w:tc>
          <w:tcPr>
            <w:tcW w:type="dxa" w:w="609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À quoi il sert</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Questionnaire de satisfaction à chaud</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Recueillir le ressenti des participants à la fin de la formation.</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Questionnaire de satisfaction à froid</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Mesurer les effets de la formation à distance, quelques semaines après.</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Bilan de session formateur</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Faire le point côté formateur : déroulement, points forts, axes d’amélioration.</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Tableau réclamations / NC / améliorations (tableur)</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Tenir le registre des réclamations, non-conformités et actions d’amélioration.</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Tableau de veille (tableur)</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Organiser votre veille pédagogique, juridique et technique.</w:t>
            </w:r>
          </w:p>
        </w:tc>
      </w:tr>
    </w:tbl>
    <w:p>
      <w:pPr>
        <w:spacing w:after="17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A7C5C" w:color="auto" w:val="clear"/>
            <w:tcMar>
              <w:top w:type="dxa" w:w="130"/>
              <w:left w:type="dxa" w:w="200"/>
              <w:bottom w:type="dxa" w:w="130"/>
              <w:right w:type="dxa" w:w="200"/>
            </w:tcMar>
          </w:tcPr>
          <w:p>
            <w:pPr>
              <w:spacing w:after="0" w:line="252"/>
            </w:pPr>
            <w:r>
              <w:rPr>
                <w:rFonts w:ascii="DM Sans" w:cs="DM Sans" w:eastAsia="DM Sans" w:hAnsi="DM Sans"/>
                <w:b/>
                <w:bCs/>
                <w:color w:val="F7F3ED"/>
                <w:sz w:val="24"/>
                <w:szCs w:val="24"/>
              </w:rPr>
              <w:t xml:space="preserve">Dossier 6 — Bonus</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3650"/>
        <w:gridCol w:w="6096"/>
      </w:tblGrid>
      <w:tr>
        <w:trPr>
          <w:tblHeader/>
        </w:trPr>
        <w:tc>
          <w:tcPr>
            <w:tcW w:type="dxa" w:w="365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Document</w:t>
            </w:r>
          </w:p>
        </w:tc>
        <w:tc>
          <w:tcPr>
            <w:tcW w:type="dxa" w:w="609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À quoi il sert</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Pack de prompts IA</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Des instructions prêtes à coller dans une IA pour générer programmes, devis, conventions, mails et bilans.</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Bibliothèque de formulations</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Des formulations professionnelles prêtes à l’emploi (objectifs pédagogiques, etc.).</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Guide de personnalisation des templates</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Adapter les modèles à votre identité : logo, couleurs, coordonnées.</w:t>
            </w:r>
          </w:p>
        </w:tc>
      </w:tr>
      <w:tr>
        <w:tc>
          <w:tcPr>
            <w:tcW w:type="dxa" w:w="3650"/>
            <w:shd w:fill="FFFFFF"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Arborescence de dossiers</w:t>
            </w:r>
          </w:p>
        </w:tc>
        <w:tc>
          <w:tcPr>
            <w:tcW w:type="dxa" w:w="6096"/>
            <w:shd w:fill="FFFFFF"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Une structure de classement prête à recréer pour ranger vos preuves Qualiopi.</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Mini-guide des erreurs fréquentes</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Les pièges les plus courants à éviter dans votre démarche.</w:t>
            </w:r>
          </w:p>
        </w:tc>
      </w:tr>
    </w:tbl>
    <w:p>
      <w:pPr>
        <w:spacing w:after="17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0F1623" w:color="auto" w:val="clear"/>
            <w:tcMar>
              <w:top w:type="dxa" w:w="130"/>
              <w:left w:type="dxa" w:w="200"/>
              <w:bottom w:type="dxa" w:w="130"/>
              <w:right w:type="dxa" w:w="200"/>
            </w:tcMar>
          </w:tcPr>
          <w:p>
            <w:pPr>
              <w:spacing w:after="0" w:line="252"/>
            </w:pPr>
            <w:r>
              <w:rPr>
                <w:rFonts w:ascii="DM Sans" w:cs="DM Sans" w:eastAsia="DM Sans" w:hAnsi="DM Sans"/>
                <w:b/>
                <w:bCs/>
                <w:color w:val="00FFB3"/>
                <w:sz w:val="24"/>
                <w:szCs w:val="24"/>
              </w:rPr>
              <w:t xml:space="preserve">À la racine du kit</w:t>
            </w:r>
          </w:p>
        </w:tc>
      </w:tr>
    </w:tbl>
    <w:p>
      <w:pPr>
        <w:spacing w:after="60" w:before="0" w:line="264"/>
      </w:pPr>
      <w:r>
        <w:rPr>
          <w:rFonts w:ascii="DM Sans" w:cs="DM Sans" w:eastAsia="DM Sans" w:hAnsi="DM Sans"/>
        </w:rPr>
        <w:t xml:space="preserve"/>
      </w:r>
    </w:p>
    <w:tbl>
      <w:tblPr>
        <w:tblW w:type="dxa" w:w="9746"/>
        <w:tblBorders>
          <w:top w:val="single" w:color="E3E7EC" w:sz="4"/>
          <w:left w:val="single" w:color="E3E7EC" w:sz="4"/>
          <w:bottom w:val="single" w:color="E3E7EC" w:sz="4"/>
          <w:right w:val="single" w:color="E3E7EC" w:sz="4"/>
          <w:insideH w:val="single" w:color="E3E7EC" w:sz="4"/>
          <w:insideV w:val="single" w:color="E3E7EC" w:sz="4"/>
        </w:tblBorders>
      </w:tblPr>
      <w:tblGrid>
        <w:gridCol w:w="3650"/>
        <w:gridCol w:w="6096"/>
      </w:tblGrid>
      <w:tr>
        <w:trPr>
          <w:tblHeader/>
        </w:trPr>
        <w:tc>
          <w:tcPr>
            <w:tcW w:type="dxa" w:w="3650"/>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Document</w:t>
            </w:r>
          </w:p>
        </w:tc>
        <w:tc>
          <w:tcPr>
            <w:tcW w:type="dxa" w:w="6096"/>
            <w:shd w:fill="0F1623" w:color="auto" w:val="clear"/>
            <w:tcMar>
              <w:top w:type="dxa" w:w="70"/>
              <w:left w:type="dxa" w:w="130"/>
              <w:bottom w:type="dxa" w:w="70"/>
              <w:right w:type="dxa" w:w="130"/>
            </w:tcMar>
            <w:vAlign w:val="center"/>
          </w:tcPr>
          <w:p>
            <w:pPr>
              <w:spacing w:after="0" w:line="248"/>
            </w:pPr>
            <w:r>
              <w:rPr>
                <w:rFonts w:ascii="DM Sans" w:cs="DM Sans" w:eastAsia="DM Sans" w:hAnsi="DM Sans"/>
                <w:b/>
                <w:bCs/>
                <w:color w:val="F7F3ED"/>
                <w:sz w:val="19"/>
                <w:szCs w:val="19"/>
              </w:rPr>
              <w:t xml:space="preserve">À quoi il sert</w:t>
            </w:r>
          </w:p>
        </w:tc>
      </w:tr>
      <w:tr>
        <w:tc>
          <w:tcPr>
            <w:tcW w:type="dxa" w:w="3650"/>
            <w:shd w:fill="F4FBF8" w:color="auto" w:val="clear"/>
            <w:tcMar>
              <w:top w:type="dxa" w:w="70"/>
              <w:left w:type="dxa" w:w="130"/>
              <w:bottom w:type="dxa" w:w="70"/>
              <w:right w:type="dxa" w:w="130"/>
            </w:tcMar>
            <w:vAlign w:val="center"/>
          </w:tcPr>
          <w:p>
            <w:pPr>
              <w:spacing w:after="0" w:line="248"/>
            </w:pPr>
            <w:r>
              <w:rPr>
                <w:rFonts w:ascii="DM Sans" w:cs="DM Sans" w:eastAsia="DM Sans" w:hAnsi="DM Sans"/>
                <w:b/>
                <w:bCs/>
                <w:color w:val="0F1623"/>
                <w:sz w:val="19"/>
                <w:szCs w:val="19"/>
              </w:rPr>
              <w:t xml:space="preserve">LISEZ-MOI — Ouvrir sans Word</w:t>
            </w:r>
          </w:p>
        </w:tc>
        <w:tc>
          <w:tcPr>
            <w:tcW w:type="dxa" w:w="6096"/>
            <w:shd w:fill="F4FBF8" w:color="auto" w:val="clear"/>
            <w:tcMar>
              <w:top w:type="dxa" w:w="70"/>
              <w:left w:type="dxa" w:w="130"/>
              <w:bottom w:type="dxa" w:w="70"/>
              <w:right w:type="dxa" w:w="130"/>
            </w:tcMar>
            <w:vAlign w:val="center"/>
          </w:tcPr>
          <w:p>
            <w:pPr>
              <w:spacing w:after="0" w:line="248"/>
            </w:pPr>
            <w:r>
              <w:rPr>
                <w:rFonts w:ascii="DM Sans" w:cs="DM Sans" w:eastAsia="DM Sans" w:hAnsi="DM Sans"/>
                <w:color w:val="23303F"/>
                <w:sz w:val="19"/>
                <w:szCs w:val="19"/>
              </w:rPr>
              <w:t xml:space="preserve">Comment ouvrir et modifier les fichiers, avec Word/Excel ou gratuitement via Google Docs &amp; Sheets.</w:t>
            </w:r>
          </w:p>
        </w:tc>
      </w:tr>
    </w:tbl>
    <w:p>
      <w:pPr>
        <w:spacing w:after="160" w:before="0" w:line="264"/>
      </w:pPr>
      <w:r>
        <w:rPr>
          <w:rFonts w:ascii="DM Sans" w:cs="DM Sans" w:eastAsia="DM Sans" w:hAnsi="DM Sans"/>
        </w:rPr>
        <w:t xml:space="preserve"/>
      </w:r>
    </w:p>
    <w:tbl>
      <w:tblPr>
        <w:tblW w:type="dxa" w:w="9746"/>
        <w:tblBorders>
          <w:top w:val="none" w:color="FFFFFF" w:sz="0"/>
          <w:left w:val="none" w:color="FFFFFF" w:sz="0"/>
          <w:bottom w:val="none" w:color="FFFFFF" w:sz="0"/>
          <w:right w:val="none" w:color="FFFFFF" w:sz="0"/>
          <w:insideH w:val="none" w:color="FFFFFF" w:sz="0"/>
          <w:insideV w:val="none" w:color="FFFFFF" w:sz="0"/>
        </w:tblBorders>
      </w:tblPr>
      <w:tblGrid>
        <w:gridCol w:w="9746"/>
      </w:tblGrid>
      <w:tr>
        <w:tc>
          <w:tcPr>
            <w:tcW w:type="dxa" w:w="9746"/>
            <w:shd w:fill="F7F3ED" w:color="auto" w:val="clear"/>
            <w:tcMar>
              <w:top w:type="dxa" w:w="170"/>
              <w:left w:type="dxa" w:w="220"/>
              <w:bottom w:type="dxa" w:w="170"/>
              <w:right w:type="dxa" w:w="220"/>
            </w:tcMar>
          </w:tcPr>
          <w:p>
            <w:pPr>
              <w:spacing w:after="60" w:before="0" w:line="264"/>
            </w:pPr>
            <w:r>
              <w:rPr>
                <w:rFonts w:ascii="DM Sans" w:cs="DM Sans" w:eastAsia="DM Sans" w:hAnsi="DM Sans"/>
                <w:b/>
                <w:bCs/>
                <w:color w:val="0F1623"/>
                <w:sz w:val="20"/>
                <w:szCs w:val="20"/>
              </w:rPr>
              <w:t xml:space="preserve">Une dernière chose</w:t>
            </w:r>
          </w:p>
          <w:p>
            <w:pPr>
              <w:spacing w:after="0" w:before="0" w:line="264"/>
            </w:pPr>
            <w:r>
              <w:rPr>
                <w:rFonts w:ascii="DM Sans" w:cs="DM Sans" w:eastAsia="DM Sans" w:hAnsi="DM Sans"/>
              </w:rPr>
              <w:t xml:space="preserve">Ces documents sont des points de départ solides : appropriez-vous-les, complétez-les, faites-les vôtres. Ils restent la propriété intellectuelle de Kipkit by AKANUP et sont destinés à un usage unique et personnel. Une question ? Écrivez à </w:t>
            </w:r>
            <w:r>
              <w:rPr>
                <w:rFonts w:ascii="DM Sans" w:cs="DM Sans" w:eastAsia="DM Sans" w:hAnsi="DM Sans"/>
                <w:b/>
                <w:bCs/>
                <w:color w:val="0A7C5C"/>
              </w:rPr>
              <w:t xml:space="preserve">contact@kipkit.fr</w:t>
            </w:r>
            <w:r>
              <w:rPr>
                <w:rFonts w:ascii="DM Sans" w:cs="DM Sans" w:eastAsia="DM Sans" w:hAnsi="DM Sans"/>
              </w:rPr>
              <w:t xml:space="preserve">.</w:t>
            </w:r>
          </w:p>
        </w:tc>
      </w:tr>
    </w:tbl>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4" w:space="6"/>
      </w:pBdr>
      <w:tabs>
        <w:tab w:val="right" w:pos="9746"/>
      </w:tabs>
    </w:pPr>
    <w:r>
      <w:rPr>
        <w:rFonts w:ascii="DM Sans" w:cs="DM Sans" w:eastAsia="DM Sans" w:hAnsi="DM Sans"/>
        <w:color w:val="5A6472"/>
        <w:sz w:val="16"/>
        <w:szCs w:val="16"/>
      </w:rPr>
      <w:t xml:space="preserve">Kipkit by AKANUP — Guide du Kit Administratif</w:t>
    </w:r>
    <w:r>
      <w:rPr>
        <w:rFonts w:ascii="DM Sans" w:cs="DM Sans" w:eastAsia="DM Sans" w:hAnsi="DM Sans"/>
      </w:rPr>
      <w:t xml:space="preserve">	</w:t>
    </w:r>
    <w:r>
      <w:rPr>
        <w:rFonts w:ascii="DM Sans" w:cs="DM Sans" w:eastAsia="DM Sans" w:hAnsi="DM Sans"/>
        <w:color w:val="5A6472"/>
        <w:sz w:val="16"/>
        <w:szCs w:val="16"/>
      </w:rPr>
      <w:t xml:space="preserve">Page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rPr>
        <w:color w:val="0A7C5C"/>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DM Sans" w:cs="DM Sans" w:eastAsia="DM Sans" w:hAnsi="DM Sans"/>
        <w:color w:val="23303F"/>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dc655d66ca4db24cc0207494d2d21d667377ecce.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2026-06-15T10:24:11.796Z</dcterms:created>
  <dcterms:modified xsi:type="dcterms:W3CDTF">2026-06-15T10:24:11.796Z</dcterms:modified>
</cp:coreProperties>
</file>

<file path=docProps/custom.xml><?xml version="1.0" encoding="utf-8"?>
<Properties xmlns="http://schemas.openxmlformats.org/officeDocument/2006/custom-properties" xmlns:vt="http://schemas.openxmlformats.org/officeDocument/2006/docPropsVTypes"/>
</file>